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73" w:rsidRDefault="008A7644" w:rsidP="008A76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7644">
        <w:rPr>
          <w:rFonts w:ascii="Arial" w:hAnsi="Arial" w:cs="Arial"/>
          <w:b/>
          <w:sz w:val="36"/>
          <w:szCs w:val="36"/>
          <w:u w:val="single"/>
        </w:rPr>
        <w:t>MA/MSc Course Planning</w:t>
      </w:r>
      <w:r w:rsidR="0078510B">
        <w:rPr>
          <w:rFonts w:ascii="Arial" w:hAnsi="Arial" w:cs="Arial"/>
          <w:b/>
          <w:sz w:val="36"/>
          <w:szCs w:val="36"/>
          <w:u w:val="single"/>
        </w:rPr>
        <w:t xml:space="preserve"> for Programs starting September 2019</w:t>
      </w:r>
      <w:r w:rsidR="00A20DEA">
        <w:rPr>
          <w:rFonts w:ascii="Arial" w:hAnsi="Arial" w:cs="Arial"/>
          <w:b/>
          <w:sz w:val="36"/>
          <w:szCs w:val="36"/>
          <w:u w:val="single"/>
        </w:rPr>
        <w:t xml:space="preserve"> or later</w:t>
      </w:r>
      <w:r w:rsidR="0078510B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A7644" w:rsidRPr="008A7644" w:rsidRDefault="008A7644" w:rsidP="008A764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7644" w:rsidRPr="008A7644" w:rsidRDefault="008A7644">
      <w:pPr>
        <w:rPr>
          <w:rFonts w:ascii="Arial" w:hAnsi="Arial" w:cs="Arial"/>
        </w:rPr>
      </w:pPr>
      <w:r w:rsidRPr="008A7644">
        <w:rPr>
          <w:rFonts w:ascii="Arial" w:hAnsi="Arial" w:cs="Arial"/>
        </w:rPr>
        <w:t>Please use this form to assist in pl</w:t>
      </w:r>
      <w:r>
        <w:rPr>
          <w:rFonts w:ascii="Arial" w:hAnsi="Arial" w:cs="Arial"/>
        </w:rPr>
        <w:t>a</w:t>
      </w:r>
      <w:r w:rsidR="0078510B">
        <w:rPr>
          <w:rFonts w:ascii="Arial" w:hAnsi="Arial" w:cs="Arial"/>
        </w:rPr>
        <w:t xml:space="preserve">nning your course requirements for </w:t>
      </w:r>
      <w:r>
        <w:rPr>
          <w:rFonts w:ascii="Arial" w:hAnsi="Arial" w:cs="Arial"/>
        </w:rPr>
        <w:t xml:space="preserve">MA/MSc </w:t>
      </w:r>
      <w:r w:rsidR="0078510B">
        <w:rPr>
          <w:rFonts w:ascii="Arial" w:hAnsi="Arial" w:cs="Arial"/>
        </w:rPr>
        <w:t xml:space="preserve">if you </w:t>
      </w:r>
      <w:r w:rsidR="00AE2B82">
        <w:rPr>
          <w:rFonts w:ascii="Arial" w:hAnsi="Arial" w:cs="Arial"/>
        </w:rPr>
        <w:t xml:space="preserve">started </w:t>
      </w:r>
      <w:r w:rsidR="0078510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program</w:t>
      </w:r>
      <w:r w:rsidR="0078510B">
        <w:rPr>
          <w:rFonts w:ascii="Arial" w:hAnsi="Arial" w:cs="Arial"/>
        </w:rPr>
        <w:t xml:space="preserve"> </w:t>
      </w:r>
      <w:r w:rsidR="00AE2B82">
        <w:rPr>
          <w:rFonts w:ascii="Arial" w:hAnsi="Arial" w:cs="Arial"/>
        </w:rPr>
        <w:t xml:space="preserve">in </w:t>
      </w:r>
      <w:r w:rsidR="0078510B" w:rsidRPr="0078510B">
        <w:rPr>
          <w:rFonts w:ascii="Arial" w:hAnsi="Arial" w:cs="Arial"/>
          <w:b/>
          <w:i/>
        </w:rPr>
        <w:t>September 2019</w:t>
      </w:r>
      <w:r w:rsidR="00A20DEA">
        <w:rPr>
          <w:rFonts w:ascii="Arial" w:hAnsi="Arial" w:cs="Arial"/>
          <w:b/>
          <w:i/>
        </w:rPr>
        <w:t xml:space="preserve"> or later</w:t>
      </w:r>
      <w:r>
        <w:rPr>
          <w:rFonts w:ascii="Arial" w:hAnsi="Arial" w:cs="Arial"/>
        </w:rPr>
        <w:t>.</w:t>
      </w:r>
      <w:r w:rsidR="00941065">
        <w:rPr>
          <w:rFonts w:ascii="Arial" w:hAnsi="Arial" w:cs="Arial"/>
        </w:rPr>
        <w:t xml:space="preserve"> Form is for your information and does not need to be submitted.</w:t>
      </w:r>
    </w:p>
    <w:p w:rsidR="008A7644" w:rsidRDefault="008A7644"/>
    <w:p w:rsidR="00B34CA5" w:rsidRPr="00F54809" w:rsidRDefault="00B34CA5" w:rsidP="00F54809">
      <w:pPr>
        <w:spacing w:after="60"/>
        <w:rPr>
          <w:rFonts w:ascii="Arial" w:hAnsi="Arial" w:cs="Arial"/>
          <w:bCs/>
        </w:rPr>
      </w:pPr>
      <w:r w:rsidRPr="00F54809">
        <w:rPr>
          <w:rFonts w:ascii="Arial" w:hAnsi="Arial" w:cs="Arial"/>
          <w:bCs/>
        </w:rPr>
        <w:t>List courses below: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</w:tblGrid>
      <w:tr w:rsidR="00B34CA5" w:rsidRPr="00ED66FE" w:rsidTr="00F54809">
        <w:trPr>
          <w:trHeight w:val="39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34CA5" w:rsidRPr="00F54809" w:rsidRDefault="00B34CA5" w:rsidP="00962192">
            <w:pPr>
              <w:rPr>
                <w:rFonts w:ascii="Arial" w:hAnsi="Arial" w:cs="Arial"/>
                <w:b/>
                <w:bCs/>
              </w:rPr>
            </w:pPr>
            <w:r w:rsidRPr="00F54809">
              <w:rPr>
                <w:rFonts w:ascii="Arial" w:hAnsi="Arial" w:cs="Arial"/>
                <w:b/>
                <w:bCs/>
              </w:rPr>
              <w:t>Courses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B34CA5" w:rsidRPr="00F54809" w:rsidRDefault="00B34CA5" w:rsidP="00962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809">
              <w:rPr>
                <w:rFonts w:ascii="Arial" w:hAnsi="Arial" w:cs="Arial"/>
                <w:b/>
                <w:bCs/>
              </w:rPr>
              <w:t>Number of Credits</w:t>
            </w:r>
          </w:p>
        </w:tc>
      </w:tr>
      <w:tr w:rsidR="00B34CA5" w:rsidRPr="00ED66FE" w:rsidTr="00F54809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F54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4809">
              <w:rPr>
                <w:rFonts w:ascii="Arial" w:hAnsi="Arial" w:cs="Arial"/>
                <w:bCs/>
                <w:sz w:val="20"/>
                <w:szCs w:val="20"/>
              </w:rPr>
              <w:t>KIN 599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F54809" w:rsidP="00F54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4809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763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54809" w:rsidRDefault="00B34CA5" w:rsidP="00763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CA5" w:rsidRPr="00ED66FE" w:rsidTr="007635CC">
        <w:trPr>
          <w:trHeight w:val="413"/>
        </w:trPr>
        <w:tc>
          <w:tcPr>
            <w:tcW w:w="4390" w:type="dxa"/>
            <w:shd w:val="clear" w:color="auto" w:fill="auto"/>
            <w:vAlign w:val="center"/>
          </w:tcPr>
          <w:p w:rsidR="00B34CA5" w:rsidRPr="00F54809" w:rsidRDefault="00B34CA5" w:rsidP="00F54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809">
              <w:rPr>
                <w:rFonts w:ascii="Arial" w:hAnsi="Arial" w:cs="Arial"/>
                <w:b/>
                <w:bCs/>
                <w:sz w:val="20"/>
                <w:szCs w:val="20"/>
              </w:rPr>
              <w:t>TOTAL (MUST BE AT LEAST 30 CREDITS)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4CA5" w:rsidRPr="00F456B3" w:rsidRDefault="00B34CA5" w:rsidP="007635CC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4CA5" w:rsidRDefault="00B34CA5">
      <w:pPr>
        <w:rPr>
          <w:rFonts w:ascii="Arial" w:hAnsi="Arial" w:cs="Arial"/>
          <w:b/>
        </w:rPr>
      </w:pPr>
    </w:p>
    <w:p w:rsidR="008A7644" w:rsidRPr="002A023D" w:rsidRDefault="00566BEA">
      <w:pPr>
        <w:rPr>
          <w:rFonts w:ascii="Arial" w:hAnsi="Arial" w:cs="Arial"/>
          <w:b/>
        </w:rPr>
      </w:pPr>
      <w:r w:rsidRPr="002A023D">
        <w:rPr>
          <w:rFonts w:ascii="Arial" w:hAnsi="Arial" w:cs="Arial"/>
          <w:b/>
        </w:rPr>
        <w:t>Master degree requirements:</w:t>
      </w:r>
    </w:p>
    <w:p w:rsidR="00566BEA" w:rsidRDefault="00566BEA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>Must complete 1</w:t>
      </w:r>
      <w:r w:rsidR="00706530">
        <w:rPr>
          <w:rFonts w:ascii="Arial" w:hAnsi="Arial" w:cs="Arial"/>
        </w:rPr>
        <w:t>2</w:t>
      </w:r>
      <w:r w:rsidRPr="004C77B7">
        <w:rPr>
          <w:rFonts w:ascii="Arial" w:hAnsi="Arial" w:cs="Arial"/>
        </w:rPr>
        <w:t xml:space="preserve"> credits of coursework and 1</w:t>
      </w:r>
      <w:r w:rsidR="00706530">
        <w:rPr>
          <w:rFonts w:ascii="Arial" w:hAnsi="Arial" w:cs="Arial"/>
        </w:rPr>
        <w:t>8</w:t>
      </w:r>
      <w:r w:rsidRPr="004C77B7">
        <w:rPr>
          <w:rFonts w:ascii="Arial" w:hAnsi="Arial" w:cs="Arial"/>
        </w:rPr>
        <w:t xml:space="preserve"> credits for thesis (KIN 599) for a TOTAL OF 30 CREDITS</w:t>
      </w:r>
    </w:p>
    <w:p w:rsidR="004C77B7" w:rsidRDefault="004C77B7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Must complete a research methods course KIN 570/571 or approved equivalent</w:t>
      </w:r>
    </w:p>
    <w:p w:rsidR="00714A4B" w:rsidRPr="004C77B7" w:rsidRDefault="00714A4B" w:rsidP="00714A4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KIN 599 is worth 1</w:t>
      </w:r>
      <w:r w:rsidR="0070653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credits</w:t>
      </w:r>
      <w:r w:rsidR="00463FE8">
        <w:rPr>
          <w:rFonts w:ascii="Arial" w:hAnsi="Arial" w:cs="Arial"/>
        </w:rPr>
        <w:t>. May register for KIN 599 after all courses are completed.</w:t>
      </w:r>
    </w:p>
    <w:p w:rsidR="008A7644" w:rsidRPr="004C77B7" w:rsidRDefault="009313ED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7644" w:rsidRPr="004C77B7">
        <w:rPr>
          <w:rFonts w:ascii="Arial" w:hAnsi="Arial" w:cs="Arial"/>
        </w:rPr>
        <w:t xml:space="preserve">ay take a maximum of </w:t>
      </w:r>
      <w:r>
        <w:rPr>
          <w:rFonts w:ascii="Arial" w:hAnsi="Arial" w:cs="Arial"/>
        </w:rPr>
        <w:t xml:space="preserve">3 </w:t>
      </w:r>
      <w:r w:rsidR="008A7644" w:rsidRPr="004C77B7">
        <w:rPr>
          <w:rFonts w:ascii="Arial" w:hAnsi="Arial" w:cs="Arial"/>
        </w:rPr>
        <w:t xml:space="preserve">credits </w:t>
      </w:r>
      <w:r w:rsidR="00566BEA" w:rsidRPr="004C77B7">
        <w:rPr>
          <w:rFonts w:ascii="Arial" w:hAnsi="Arial" w:cs="Arial"/>
        </w:rPr>
        <w:t>of undergraduate courses at the 300/400 level</w:t>
      </w:r>
    </w:p>
    <w:p w:rsidR="00566BEA" w:rsidRDefault="00566BEA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>Students may take undergraduate courses at the 100/200 level, but these will not count towards their degree</w:t>
      </w:r>
    </w:p>
    <w:p w:rsidR="00566BEA" w:rsidRDefault="00566BEA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 xml:space="preserve">Students may take over 30 credits in their program, but only 30 </w:t>
      </w:r>
      <w:r w:rsidR="004C77B7">
        <w:rPr>
          <w:rFonts w:ascii="Arial" w:hAnsi="Arial" w:cs="Arial"/>
        </w:rPr>
        <w:t xml:space="preserve">credits </w:t>
      </w:r>
      <w:r w:rsidRPr="004C77B7">
        <w:rPr>
          <w:rFonts w:ascii="Arial" w:hAnsi="Arial" w:cs="Arial"/>
        </w:rPr>
        <w:t>will count towards their degree</w:t>
      </w:r>
    </w:p>
    <w:p w:rsidR="00810C7D" w:rsidRDefault="00F24EAE" w:rsidP="00810C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Must be continuously registered every term until graduation. May be registered in course(s) and/or thesis (KIN 599).</w:t>
      </w:r>
      <w:r w:rsidR="00810C7D">
        <w:rPr>
          <w:rFonts w:ascii="Arial" w:hAnsi="Arial" w:cs="Arial"/>
        </w:rPr>
        <w:t xml:space="preserve"> Failure to register may affect award distributions and/or student fees benefits like </w:t>
      </w:r>
      <w:proofErr w:type="spellStart"/>
      <w:r w:rsidR="00810C7D">
        <w:rPr>
          <w:rFonts w:ascii="Arial" w:hAnsi="Arial" w:cs="Arial"/>
        </w:rPr>
        <w:t>UPass</w:t>
      </w:r>
      <w:proofErr w:type="spellEnd"/>
      <w:r w:rsidR="00810C7D">
        <w:rPr>
          <w:rFonts w:ascii="Arial" w:hAnsi="Arial" w:cs="Arial"/>
        </w:rPr>
        <w:t>.</w:t>
      </w:r>
    </w:p>
    <w:p w:rsidR="00F24EAE" w:rsidRDefault="00F24EAE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Graduate students are considered </w:t>
      </w:r>
      <w:r w:rsidR="004F2634">
        <w:rPr>
          <w:rFonts w:ascii="Arial" w:hAnsi="Arial" w:cs="Arial"/>
        </w:rPr>
        <w:t>to be</w:t>
      </w:r>
      <w:r>
        <w:rPr>
          <w:rFonts w:ascii="Arial" w:hAnsi="Arial" w:cs="Arial"/>
        </w:rPr>
        <w:t xml:space="preserve"> in </w:t>
      </w:r>
      <w:r w:rsidRPr="00F24EAE">
        <w:rPr>
          <w:rFonts w:ascii="Arial" w:hAnsi="Arial" w:cs="Arial"/>
          <w:i/>
        </w:rPr>
        <w:t>full-time</w:t>
      </w:r>
      <w:r>
        <w:rPr>
          <w:rFonts w:ascii="Arial" w:hAnsi="Arial" w:cs="Arial"/>
        </w:rPr>
        <w:t xml:space="preserve"> status regardless of the number of course(s).  </w:t>
      </w:r>
      <w:proofErr w:type="gramStart"/>
      <w:r>
        <w:rPr>
          <w:rFonts w:ascii="Arial" w:hAnsi="Arial" w:cs="Arial"/>
        </w:rPr>
        <w:t>i.e</w:t>
      </w:r>
      <w:proofErr w:type="gramEnd"/>
      <w:r>
        <w:rPr>
          <w:rFonts w:ascii="Arial" w:hAnsi="Arial" w:cs="Arial"/>
        </w:rPr>
        <w:t>. you may be registered in 1 course and this is considered full-time.</w:t>
      </w:r>
    </w:p>
    <w:p w:rsidR="004C77B7" w:rsidRDefault="004C77B7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May also register for courses in “audit” standing</w:t>
      </w:r>
      <w:r w:rsidR="007761C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 marks </w:t>
      </w:r>
      <w:r w:rsidR="007761C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final exams. Course work</w:t>
      </w:r>
      <w:r w:rsidR="0032177F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 xml:space="preserve"> to be decided in consultation with instructor. Students must contact the department in which the course is offered, to register for audit courses.  </w:t>
      </w:r>
    </w:p>
    <w:p w:rsidR="004F109F" w:rsidRPr="002D16EF" w:rsidRDefault="002A023D" w:rsidP="00F25B77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hAnsi="Arial" w:cs="Arial"/>
          <w:color w:val="auto"/>
          <w:u w:val="none"/>
        </w:rPr>
      </w:pPr>
      <w:r w:rsidRPr="005039B4">
        <w:rPr>
          <w:rFonts w:ascii="Arial" w:hAnsi="Arial" w:cs="Arial"/>
        </w:rPr>
        <w:t>Directed studies (530A/530B) and Directed Field Studies</w:t>
      </w:r>
      <w:r w:rsidR="00D869D0" w:rsidRPr="005039B4">
        <w:rPr>
          <w:rFonts w:ascii="Arial" w:hAnsi="Arial" w:cs="Arial"/>
        </w:rPr>
        <w:t xml:space="preserve"> (KIN 598)</w:t>
      </w:r>
      <w:r w:rsidRPr="005039B4">
        <w:rPr>
          <w:rFonts w:ascii="Arial" w:hAnsi="Arial" w:cs="Arial"/>
        </w:rPr>
        <w:t xml:space="preserve"> require a contract to be filled out at: </w:t>
      </w:r>
      <w:hyperlink r:id="rId5" w:anchor="Resources-3" w:history="1">
        <w:r w:rsidRPr="005039B4">
          <w:rPr>
            <w:rStyle w:val="Hyperlink"/>
            <w:rFonts w:ascii="Arial" w:hAnsi="Arial" w:cs="Arial"/>
          </w:rPr>
          <w:t>http://kin.educ.ubc.ca/current-students/current-graduate-students/#Resources-3</w:t>
        </w:r>
      </w:hyperlink>
    </w:p>
    <w:p w:rsidR="002D16EF" w:rsidRPr="002D16EF" w:rsidRDefault="002D16EF" w:rsidP="002D16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16EF">
        <w:rPr>
          <w:rFonts w:ascii="Arial" w:hAnsi="Arial" w:cs="Arial"/>
        </w:rPr>
        <w:t>MA/MSc students may only take Kin 530A for credit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program</w:t>
      </w:r>
      <w:r w:rsidRPr="002D16EF">
        <w:rPr>
          <w:rFonts w:ascii="Arial" w:hAnsi="Arial" w:cs="Arial"/>
        </w:rPr>
        <w:t>.</w:t>
      </w:r>
    </w:p>
    <w:p w:rsidR="002D16EF" w:rsidRPr="002D16EF" w:rsidRDefault="002D16EF" w:rsidP="002D16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16EF">
        <w:rPr>
          <w:rFonts w:ascii="Arial" w:hAnsi="Arial" w:cs="Arial"/>
        </w:rPr>
        <w:t xml:space="preserve">MA/MSc students may </w:t>
      </w:r>
      <w:r w:rsidRPr="002D16EF">
        <w:rPr>
          <w:rFonts w:ascii="Arial" w:hAnsi="Arial" w:cs="Arial"/>
          <w:b/>
          <w:i/>
        </w:rPr>
        <w:t>not</w:t>
      </w:r>
      <w:r w:rsidRPr="002D16EF">
        <w:rPr>
          <w:rFonts w:ascii="Arial" w:hAnsi="Arial" w:cs="Arial"/>
        </w:rPr>
        <w:t xml:space="preserve"> take Kin 598 for credit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their program</w:t>
      </w:r>
      <w:r w:rsidRPr="002D16EF">
        <w:rPr>
          <w:rFonts w:ascii="Arial" w:hAnsi="Arial" w:cs="Arial"/>
        </w:rPr>
        <w:t>.</w:t>
      </w:r>
    </w:p>
    <w:sectPr w:rsidR="002D16EF" w:rsidRPr="002D16EF" w:rsidSect="00F24EA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4B1"/>
    <w:multiLevelType w:val="hybridMultilevel"/>
    <w:tmpl w:val="E20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214F"/>
    <w:multiLevelType w:val="hybridMultilevel"/>
    <w:tmpl w:val="FB9E80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4"/>
    <w:rsid w:val="001E579D"/>
    <w:rsid w:val="00211E10"/>
    <w:rsid w:val="002A023D"/>
    <w:rsid w:val="002D16EF"/>
    <w:rsid w:val="0032177F"/>
    <w:rsid w:val="003D32D3"/>
    <w:rsid w:val="00463FE8"/>
    <w:rsid w:val="004C77B7"/>
    <w:rsid w:val="004F109F"/>
    <w:rsid w:val="004F2634"/>
    <w:rsid w:val="005039B4"/>
    <w:rsid w:val="00566BEA"/>
    <w:rsid w:val="005B37B5"/>
    <w:rsid w:val="00706530"/>
    <w:rsid w:val="007100B1"/>
    <w:rsid w:val="00714A4B"/>
    <w:rsid w:val="007635CC"/>
    <w:rsid w:val="007761CC"/>
    <w:rsid w:val="0078510B"/>
    <w:rsid w:val="00810C7D"/>
    <w:rsid w:val="008A7644"/>
    <w:rsid w:val="009313ED"/>
    <w:rsid w:val="00941065"/>
    <w:rsid w:val="009C1925"/>
    <w:rsid w:val="00A20DEA"/>
    <w:rsid w:val="00AE2B82"/>
    <w:rsid w:val="00B34CA5"/>
    <w:rsid w:val="00B86525"/>
    <w:rsid w:val="00C40A8B"/>
    <w:rsid w:val="00C73834"/>
    <w:rsid w:val="00CA20F4"/>
    <w:rsid w:val="00D869D0"/>
    <w:rsid w:val="00DB514E"/>
    <w:rsid w:val="00E45086"/>
    <w:rsid w:val="00F24EAE"/>
    <w:rsid w:val="00F417C7"/>
    <w:rsid w:val="00F456B3"/>
    <w:rsid w:val="00F54809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E051"/>
  <w15:docId w15:val="{6EC81F19-FA43-4552-9A38-3189654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7644"/>
    <w:pPr>
      <w:keepNext/>
      <w:outlineLvl w:val="2"/>
    </w:pPr>
    <w:rPr>
      <w:rFonts w:ascii="Arial" w:hAnsi="Arial" w:cs="Arial"/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PRheading">
    <w:name w:val="OGPR_heading"/>
    <w:basedOn w:val="Normal"/>
    <w:qFormat/>
    <w:rsid w:val="003D32D3"/>
    <w:pPr>
      <w:pBdr>
        <w:bottom w:val="single" w:sz="8" w:space="1" w:color="5E869F"/>
      </w:pBdr>
      <w:spacing w:line="264" w:lineRule="auto"/>
    </w:pPr>
    <w:rPr>
      <w:rFonts w:ascii="Cambria" w:eastAsia="MS Mincho" w:hAnsi="Cambria"/>
      <w:b/>
      <w:color w:val="5E869F"/>
    </w:rPr>
  </w:style>
  <w:style w:type="character" w:customStyle="1" w:styleId="Heading3Char">
    <w:name w:val="Heading 3 Char"/>
    <w:basedOn w:val="DefaultParagraphFont"/>
    <w:link w:val="Heading3"/>
    <w:rsid w:val="008A7644"/>
    <w:rPr>
      <w:rFonts w:ascii="Arial" w:eastAsia="Times New Roman" w:hAnsi="Arial" w:cs="Arial"/>
      <w:b/>
      <w:bCs/>
      <w:caps/>
      <w:sz w:val="20"/>
      <w:szCs w:val="24"/>
    </w:rPr>
  </w:style>
  <w:style w:type="paragraph" w:styleId="ListParagraph">
    <w:name w:val="List Paragraph"/>
    <w:basedOn w:val="Normal"/>
    <w:uiPriority w:val="34"/>
    <w:qFormat/>
    <w:rsid w:val="004C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.educ.ubc.ca/current-students/current-graduate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Luk</dc:creator>
  <cp:lastModifiedBy>Luk, Helen</cp:lastModifiedBy>
  <cp:revision>4</cp:revision>
  <dcterms:created xsi:type="dcterms:W3CDTF">2023-03-20T23:41:00Z</dcterms:created>
  <dcterms:modified xsi:type="dcterms:W3CDTF">2023-03-20T23:42:00Z</dcterms:modified>
</cp:coreProperties>
</file>